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5" w:rsidRPr="00E44975" w:rsidRDefault="00401C85" w:rsidP="00401C85">
      <w:pPr>
        <w:pStyle w:val="Nzev"/>
        <w:jc w:val="left"/>
        <w:rPr>
          <w:rFonts w:asciiTheme="majorHAnsi" w:hAnsiTheme="majorHAnsi" w:cs="Calibri"/>
          <w:spacing w:val="100"/>
          <w:sz w:val="24"/>
        </w:rPr>
      </w:pPr>
      <w:r w:rsidRPr="00E44975">
        <w:rPr>
          <w:rFonts w:asciiTheme="majorHAnsi" w:hAnsiTheme="majorHAnsi" w:cs="Calibri"/>
          <w:spacing w:val="100"/>
          <w:sz w:val="24"/>
        </w:rPr>
        <w:t xml:space="preserve">Mikroregion Dolní </w:t>
      </w:r>
      <w:proofErr w:type="spellStart"/>
      <w:r w:rsidRPr="00E44975">
        <w:rPr>
          <w:rFonts w:asciiTheme="majorHAnsi" w:hAnsiTheme="majorHAnsi" w:cs="Calibri"/>
          <w:spacing w:val="100"/>
          <w:sz w:val="24"/>
        </w:rPr>
        <w:t>Poolšaví</w:t>
      </w:r>
      <w:proofErr w:type="spellEnd"/>
      <w:r w:rsidRPr="00E44975">
        <w:rPr>
          <w:rFonts w:asciiTheme="majorHAnsi" w:hAnsiTheme="majorHAnsi" w:cs="Calibri"/>
          <w:spacing w:val="100"/>
          <w:sz w:val="24"/>
        </w:rPr>
        <w:t xml:space="preserve">, </w:t>
      </w:r>
      <w:r w:rsidRPr="00E44975">
        <w:rPr>
          <w:rFonts w:asciiTheme="majorHAnsi" w:hAnsiTheme="majorHAnsi" w:cs="Calibri"/>
          <w:spacing w:val="100"/>
          <w:sz w:val="24"/>
        </w:rPr>
        <w:t xml:space="preserve">dobrovolný </w:t>
      </w:r>
      <w:r w:rsidRPr="00E44975">
        <w:rPr>
          <w:rFonts w:asciiTheme="majorHAnsi" w:hAnsiTheme="majorHAnsi" w:cs="Calibri"/>
          <w:spacing w:val="100"/>
          <w:sz w:val="24"/>
        </w:rPr>
        <w:t>svazek obcí</w:t>
      </w:r>
    </w:p>
    <w:p w:rsidR="00401C85" w:rsidRPr="00E44975" w:rsidRDefault="00401C85" w:rsidP="00401C85">
      <w:pPr>
        <w:jc w:val="both"/>
        <w:rPr>
          <w:rFonts w:asciiTheme="majorHAnsi" w:hAnsiTheme="majorHAnsi" w:cs="Arial"/>
          <w:sz w:val="22"/>
          <w:szCs w:val="22"/>
        </w:rPr>
      </w:pPr>
    </w:p>
    <w:p w:rsidR="00E44975" w:rsidRPr="00977354" w:rsidRDefault="00E44975" w:rsidP="00401C85">
      <w:pPr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977354">
        <w:rPr>
          <w:rFonts w:asciiTheme="majorHAnsi" w:hAnsiTheme="majorHAnsi" w:cs="Arial"/>
          <w:b/>
          <w:sz w:val="22"/>
          <w:szCs w:val="22"/>
        </w:rPr>
        <w:t>Rozpočtové opatření č. 1/2019</w:t>
      </w:r>
    </w:p>
    <w:tbl>
      <w:tblPr>
        <w:tblW w:w="7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907"/>
        <w:gridCol w:w="907"/>
        <w:gridCol w:w="1426"/>
      </w:tblGrid>
      <w:tr w:rsidR="00401C85" w:rsidRPr="00E44975" w:rsidTr="00E6710E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0"/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  <w:t>Text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  <w:t>Par.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  <w:t>Pol.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b/>
                <w:color w:val="auto"/>
                <w:sz w:val="22"/>
                <w:szCs w:val="22"/>
                <w:lang w:eastAsia="cs-CZ"/>
              </w:rPr>
              <w:t>Kč</w:t>
            </w:r>
          </w:p>
        </w:tc>
      </w:tr>
      <w:tr w:rsidR="00401C85" w:rsidRPr="00E44975" w:rsidTr="00E6710E">
        <w:trPr>
          <w:trHeight w:val="402"/>
        </w:trPr>
        <w:tc>
          <w:tcPr>
            <w:tcW w:w="4430" w:type="dxa"/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Přebytek hospodaření 2018</w:t>
            </w:r>
          </w:p>
        </w:tc>
        <w:tc>
          <w:tcPr>
            <w:tcW w:w="907" w:type="dxa"/>
            <w:noWrap/>
            <w:vAlign w:val="bottom"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907" w:type="dxa"/>
            <w:noWrap/>
            <w:vAlign w:val="bottom"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8115</w:t>
            </w:r>
          </w:p>
        </w:tc>
        <w:tc>
          <w:tcPr>
            <w:tcW w:w="1426" w:type="dxa"/>
            <w:noWrap/>
            <w:vAlign w:val="bottom"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409 489,05</w:t>
            </w:r>
          </w:p>
        </w:tc>
      </w:tr>
      <w:tr w:rsidR="00401C85" w:rsidRPr="00E44975" w:rsidTr="00E6710E">
        <w:trPr>
          <w:trHeight w:val="402"/>
        </w:trPr>
        <w:tc>
          <w:tcPr>
            <w:tcW w:w="4430" w:type="dxa"/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Převod do rezervy</w:t>
            </w:r>
          </w:p>
        </w:tc>
        <w:tc>
          <w:tcPr>
            <w:tcW w:w="907" w:type="dxa"/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6409</w:t>
            </w:r>
          </w:p>
        </w:tc>
        <w:tc>
          <w:tcPr>
            <w:tcW w:w="907" w:type="dxa"/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5901</w:t>
            </w:r>
          </w:p>
        </w:tc>
        <w:tc>
          <w:tcPr>
            <w:tcW w:w="1426" w:type="dxa"/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409 489,05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Příjmy z poskytování služeb a výrobků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2111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30 000,00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Dohody o provedení práce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17 000,00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Potraviny – svačinky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3 000,00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Materiál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2 000,00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Služby – jízdné, obědy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8 000,00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Příjmy z poskytování služeb a výrobků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2111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30 000,00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Dohody o provedení práce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8 000,00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Materiál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1 000,00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Služby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16 000,00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Pohoštění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3319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Příjmy projektu – navýšení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3900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2324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626 000,00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Platy zaměstnanců v pracovním poměru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3900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492.000,00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Povinné poj. na </w:t>
            </w:r>
            <w:proofErr w:type="spellStart"/>
            <w:proofErr w:type="gramStart"/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soc.zabezpečení</w:t>
            </w:r>
            <w:proofErr w:type="spellEnd"/>
            <w:proofErr w:type="gramEnd"/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a přísp.na </w:t>
            </w:r>
            <w:proofErr w:type="spellStart"/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stát.pol.zaměst</w:t>
            </w:r>
            <w:proofErr w:type="spellEnd"/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3900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5031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                         123.000,00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Povinné pojistné na veřejné zdravotní pojištění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3900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             44.000,00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Pojištění Kooperativa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3900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5038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        6.000,00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SMO ČR spoluúčast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3900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5169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29.040,00</w:t>
            </w:r>
          </w:p>
        </w:tc>
      </w:tr>
      <w:tr w:rsidR="00401C85" w:rsidRPr="00E44975" w:rsidTr="00401C85">
        <w:trPr>
          <w:trHeight w:val="4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Čerpání rezervy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6409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>5901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C85" w:rsidRPr="00E44975" w:rsidRDefault="00401C85" w:rsidP="00E6710E">
            <w:pPr>
              <w:widowControl/>
              <w:suppressAutoHyphens w:val="0"/>
              <w:autoSpaceDE/>
              <w:jc w:val="right"/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</w:pPr>
            <w:r w:rsidRPr="00E44975">
              <w:rPr>
                <w:rFonts w:asciiTheme="majorHAnsi" w:hAnsiTheme="majorHAnsi" w:cs="Arial"/>
                <w:color w:val="auto"/>
                <w:sz w:val="22"/>
                <w:szCs w:val="22"/>
                <w:lang w:eastAsia="cs-CZ"/>
              </w:rPr>
              <w:t xml:space="preserve">         68.040,00</w:t>
            </w:r>
          </w:p>
        </w:tc>
      </w:tr>
    </w:tbl>
    <w:p w:rsidR="00A37750" w:rsidRPr="00E44975" w:rsidRDefault="00977354">
      <w:pPr>
        <w:rPr>
          <w:rFonts w:asciiTheme="majorHAnsi" w:hAnsiTheme="majorHAnsi"/>
          <w:sz w:val="22"/>
          <w:szCs w:val="22"/>
        </w:rPr>
      </w:pPr>
    </w:p>
    <w:p w:rsidR="00084A98" w:rsidRPr="00E44975" w:rsidRDefault="00084A98">
      <w:pPr>
        <w:rPr>
          <w:rFonts w:asciiTheme="majorHAnsi" w:hAnsiTheme="majorHAnsi" w:cs="Arial"/>
          <w:sz w:val="22"/>
          <w:szCs w:val="22"/>
        </w:rPr>
      </w:pPr>
      <w:r w:rsidRPr="00E44975">
        <w:rPr>
          <w:rFonts w:asciiTheme="majorHAnsi" w:hAnsiTheme="majorHAnsi" w:cs="Arial"/>
          <w:sz w:val="22"/>
          <w:szCs w:val="22"/>
        </w:rPr>
        <w:t>Kunovice 18. 6.2019</w:t>
      </w:r>
    </w:p>
    <w:p w:rsidR="00084A98" w:rsidRPr="00E44975" w:rsidRDefault="00084A98">
      <w:pPr>
        <w:rPr>
          <w:rFonts w:asciiTheme="majorHAnsi" w:hAnsiTheme="majorHAnsi"/>
          <w:sz w:val="22"/>
          <w:szCs w:val="22"/>
        </w:rPr>
      </w:pPr>
    </w:p>
    <w:sectPr w:rsidR="00084A98" w:rsidRPr="00E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E24"/>
    <w:multiLevelType w:val="hybridMultilevel"/>
    <w:tmpl w:val="BA8E7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5"/>
    <w:rsid w:val="00084A98"/>
    <w:rsid w:val="00401C85"/>
    <w:rsid w:val="00816467"/>
    <w:rsid w:val="00977354"/>
    <w:rsid w:val="00E44975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67AD-65B3-4E72-AA35-84E5D51E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1C85"/>
    <w:pPr>
      <w:widowControl/>
      <w:pBdr>
        <w:bottom w:val="single" w:sz="12" w:space="1" w:color="auto"/>
      </w:pBdr>
      <w:suppressAutoHyphens w:val="0"/>
      <w:autoSpaceDE/>
      <w:jc w:val="center"/>
    </w:pPr>
    <w:rPr>
      <w:b/>
      <w:color w:val="auto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01C85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2019-12-15T23:04:00Z</dcterms:created>
  <dcterms:modified xsi:type="dcterms:W3CDTF">2019-12-15T23:11:00Z</dcterms:modified>
</cp:coreProperties>
</file>